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09" w:rsidRDefault="00023609">
      <w:pPr>
        <w:pStyle w:val="ConsPlusTitlePage"/>
      </w:pPr>
      <w:bookmarkStart w:id="0" w:name="_GoBack"/>
      <w:bookmarkEnd w:id="0"/>
      <w:r>
        <w:br/>
      </w:r>
    </w:p>
    <w:p w:rsidR="00023609" w:rsidRDefault="00023609">
      <w:pPr>
        <w:pStyle w:val="ConsPlusNormal"/>
        <w:jc w:val="center"/>
        <w:outlineLvl w:val="0"/>
      </w:pPr>
    </w:p>
    <w:p w:rsidR="00023609" w:rsidRDefault="00023609">
      <w:pPr>
        <w:pStyle w:val="ConsPlusTitle"/>
        <w:jc w:val="center"/>
        <w:outlineLvl w:val="0"/>
      </w:pPr>
      <w:r>
        <w:t>ПРАВИТЕЛЬСТВО ОМСКОЙ ОБЛАСТИ</w:t>
      </w:r>
    </w:p>
    <w:p w:rsidR="00023609" w:rsidRDefault="00023609">
      <w:pPr>
        <w:pStyle w:val="ConsPlusTitle"/>
        <w:jc w:val="center"/>
      </w:pPr>
    </w:p>
    <w:p w:rsidR="00023609" w:rsidRDefault="00023609">
      <w:pPr>
        <w:pStyle w:val="ConsPlusTitle"/>
        <w:jc w:val="center"/>
      </w:pPr>
      <w:r>
        <w:t>ПОСТАНОВЛЕНИЕ</w:t>
      </w:r>
    </w:p>
    <w:p w:rsidR="00023609" w:rsidRDefault="00023609">
      <w:pPr>
        <w:pStyle w:val="ConsPlusTitle"/>
        <w:jc w:val="center"/>
      </w:pPr>
      <w:r>
        <w:t>от 17 сентября 2014 г. N 206-п</w:t>
      </w:r>
    </w:p>
    <w:p w:rsidR="00023609" w:rsidRDefault="00023609">
      <w:pPr>
        <w:pStyle w:val="ConsPlusTitle"/>
        <w:jc w:val="center"/>
      </w:pPr>
    </w:p>
    <w:p w:rsidR="00023609" w:rsidRDefault="00023609">
      <w:pPr>
        <w:pStyle w:val="ConsPlusTitle"/>
        <w:jc w:val="center"/>
      </w:pPr>
      <w:r>
        <w:t>ОБ УСТАНОВЛЕНИИ РАЗМЕРА ПРЕДЕЛЬНОЙ СТОИМОСТИ УСЛУГ</w:t>
      </w:r>
    </w:p>
    <w:p w:rsidR="00023609" w:rsidRDefault="00023609">
      <w:pPr>
        <w:pStyle w:val="ConsPlusTitle"/>
        <w:jc w:val="center"/>
      </w:pPr>
      <w:r>
        <w:t>И (ИЛИ) РАБОТ ПО КАПИТАЛЬНОМУ РЕМОНТУ ОБЩЕГО ИМУЩЕСТВА</w:t>
      </w:r>
    </w:p>
    <w:p w:rsidR="00023609" w:rsidRDefault="00023609">
      <w:pPr>
        <w:pStyle w:val="ConsPlusTitle"/>
        <w:jc w:val="center"/>
      </w:pPr>
      <w:r>
        <w:t>В МНОГОКВАРТИРНЫХ ДОМАХ НА 2014 ГОД</w:t>
      </w:r>
    </w:p>
    <w:p w:rsidR="00023609" w:rsidRDefault="00023609">
      <w:pPr>
        <w:pStyle w:val="ConsPlusNormal"/>
        <w:jc w:val="center"/>
      </w:pPr>
    </w:p>
    <w:p w:rsidR="00023609" w:rsidRDefault="00023609">
      <w:pPr>
        <w:pStyle w:val="ConsPlusNormal"/>
        <w:ind w:firstLine="540"/>
        <w:jc w:val="both"/>
      </w:pPr>
      <w:r>
        <w:t xml:space="preserve">В соответствии с </w:t>
      </w:r>
      <w:hyperlink r:id="rId4" w:history="1">
        <w:r>
          <w:rPr>
            <w:color w:val="0000FF"/>
          </w:rPr>
          <w:t>пунктом 4 статьи 4</w:t>
        </w:r>
      </w:hyperlink>
      <w:r>
        <w:t xml:space="preserve"> Закона Омской области "Об организации проведения капитального ремонта общего имущества в многоквартирных домах, расположенных на территории Омской области" Правительство Омской области постановляет:</w:t>
      </w:r>
    </w:p>
    <w:p w:rsidR="00023609" w:rsidRDefault="00023609">
      <w:pPr>
        <w:pStyle w:val="ConsPlusNormal"/>
        <w:ind w:firstLine="540"/>
        <w:jc w:val="both"/>
      </w:pPr>
      <w:r>
        <w:t xml:space="preserve">Установить прилагаемый </w:t>
      </w:r>
      <w:hyperlink w:anchor="P26" w:history="1">
        <w:r>
          <w:rPr>
            <w:color w:val="0000FF"/>
          </w:rPr>
          <w:t>размер</w:t>
        </w:r>
      </w:hyperlink>
      <w:r>
        <w:t xml:space="preserve"> предельной стоимости услуг и (или) работ по капитальному ремонту общего имущества в многоквартирных домах, расположенных на территории Омской области (далее - общее имущество), которая может оплачиваться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за счет средств фонда капитального ремонта, сформированного исходя из минимального размера взноса на капитальный ремонт общего имущества, на 2014 год.</w:t>
      </w:r>
    </w:p>
    <w:p w:rsidR="00023609" w:rsidRDefault="00023609">
      <w:pPr>
        <w:pStyle w:val="ConsPlusNormal"/>
        <w:jc w:val="right"/>
      </w:pPr>
    </w:p>
    <w:p w:rsidR="00023609" w:rsidRDefault="00023609">
      <w:pPr>
        <w:pStyle w:val="ConsPlusNormal"/>
        <w:jc w:val="right"/>
      </w:pPr>
      <w:r>
        <w:t>Губернатор Омской области,</w:t>
      </w:r>
    </w:p>
    <w:p w:rsidR="00023609" w:rsidRDefault="00023609">
      <w:pPr>
        <w:pStyle w:val="ConsPlusNormal"/>
        <w:jc w:val="right"/>
      </w:pPr>
      <w:r>
        <w:t>Председатель Правительства</w:t>
      </w:r>
    </w:p>
    <w:p w:rsidR="00023609" w:rsidRDefault="00023609">
      <w:pPr>
        <w:pStyle w:val="ConsPlusNormal"/>
        <w:jc w:val="right"/>
      </w:pPr>
      <w:r>
        <w:t>Омской области</w:t>
      </w:r>
    </w:p>
    <w:p w:rsidR="00023609" w:rsidRDefault="00023609">
      <w:pPr>
        <w:pStyle w:val="ConsPlusNormal"/>
        <w:jc w:val="right"/>
      </w:pPr>
      <w:r>
        <w:t>В.И.НАЗАРОВ</w:t>
      </w:r>
    </w:p>
    <w:p w:rsidR="00023609" w:rsidRDefault="00023609">
      <w:pPr>
        <w:pStyle w:val="ConsPlusNormal"/>
        <w:jc w:val="right"/>
      </w:pPr>
    </w:p>
    <w:p w:rsidR="00023609" w:rsidRDefault="00023609">
      <w:pPr>
        <w:pStyle w:val="ConsPlusNormal"/>
        <w:jc w:val="right"/>
      </w:pPr>
    </w:p>
    <w:p w:rsidR="00023609" w:rsidRDefault="00023609">
      <w:pPr>
        <w:pStyle w:val="ConsPlusNormal"/>
        <w:jc w:val="right"/>
      </w:pPr>
    </w:p>
    <w:p w:rsidR="00023609" w:rsidRDefault="00023609">
      <w:pPr>
        <w:pStyle w:val="ConsPlusNormal"/>
        <w:jc w:val="right"/>
      </w:pPr>
    </w:p>
    <w:p w:rsidR="00023609" w:rsidRDefault="00023609">
      <w:pPr>
        <w:pStyle w:val="ConsPlusNormal"/>
        <w:jc w:val="right"/>
      </w:pPr>
    </w:p>
    <w:p w:rsidR="00023609" w:rsidRDefault="00023609">
      <w:pPr>
        <w:pStyle w:val="ConsPlusNormal"/>
        <w:jc w:val="right"/>
        <w:outlineLvl w:val="0"/>
      </w:pPr>
      <w:r>
        <w:t>Приложение</w:t>
      </w:r>
    </w:p>
    <w:p w:rsidR="00023609" w:rsidRDefault="00023609">
      <w:pPr>
        <w:pStyle w:val="ConsPlusNormal"/>
        <w:jc w:val="right"/>
      </w:pPr>
      <w:r>
        <w:t>к постановлению Правительства Омской области</w:t>
      </w:r>
    </w:p>
    <w:p w:rsidR="00023609" w:rsidRDefault="00023609">
      <w:pPr>
        <w:pStyle w:val="ConsPlusNormal"/>
        <w:jc w:val="right"/>
      </w:pPr>
      <w:r>
        <w:t>от 17 сентября 2014 г. N 206-п</w:t>
      </w:r>
    </w:p>
    <w:p w:rsidR="00023609" w:rsidRDefault="00023609">
      <w:pPr>
        <w:pStyle w:val="ConsPlusNormal"/>
        <w:jc w:val="right"/>
      </w:pPr>
    </w:p>
    <w:p w:rsidR="00023609" w:rsidRDefault="00023609">
      <w:pPr>
        <w:pStyle w:val="ConsPlusTitle"/>
        <w:jc w:val="center"/>
      </w:pPr>
      <w:bookmarkStart w:id="1" w:name="P26"/>
      <w:bookmarkEnd w:id="1"/>
      <w:r>
        <w:t>РАЗМЕР</w:t>
      </w:r>
    </w:p>
    <w:p w:rsidR="00023609" w:rsidRDefault="00023609">
      <w:pPr>
        <w:pStyle w:val="ConsPlusTitle"/>
        <w:jc w:val="center"/>
      </w:pPr>
      <w:r>
        <w:t>предельной стоимости услуг и (или) работ по капитальному</w:t>
      </w:r>
    </w:p>
    <w:p w:rsidR="00023609" w:rsidRDefault="00023609">
      <w:pPr>
        <w:pStyle w:val="ConsPlusTitle"/>
        <w:jc w:val="center"/>
      </w:pPr>
      <w:r>
        <w:t>ремонту общего имущества в многоквартирных домах,</w:t>
      </w:r>
    </w:p>
    <w:p w:rsidR="00023609" w:rsidRDefault="00023609">
      <w:pPr>
        <w:pStyle w:val="ConsPlusTitle"/>
        <w:jc w:val="center"/>
      </w:pPr>
      <w:r>
        <w:lastRenderedPageBreak/>
        <w:t>расположенных на территории Омской области (далее - общее</w:t>
      </w:r>
    </w:p>
    <w:p w:rsidR="00023609" w:rsidRDefault="00023609">
      <w:pPr>
        <w:pStyle w:val="ConsPlusTitle"/>
        <w:jc w:val="center"/>
      </w:pPr>
      <w:r>
        <w:t>имущество), которая может оплачиваться специализированной</w:t>
      </w:r>
    </w:p>
    <w:p w:rsidR="00023609" w:rsidRDefault="00023609">
      <w:pPr>
        <w:pStyle w:val="ConsPlusTitle"/>
        <w:jc w:val="center"/>
      </w:pPr>
      <w:r>
        <w:t>некоммерческой организацией, осуществляющей деятельность,</w:t>
      </w:r>
    </w:p>
    <w:p w:rsidR="00023609" w:rsidRDefault="00023609">
      <w:pPr>
        <w:pStyle w:val="ConsPlusTitle"/>
        <w:jc w:val="center"/>
      </w:pPr>
      <w:r>
        <w:t>направленную на обеспечение проведения капитального ремонта</w:t>
      </w:r>
    </w:p>
    <w:p w:rsidR="00023609" w:rsidRDefault="00023609">
      <w:pPr>
        <w:pStyle w:val="ConsPlusTitle"/>
        <w:jc w:val="center"/>
      </w:pPr>
      <w:r>
        <w:t>общего имущества за счет средств фонда капитального</w:t>
      </w:r>
    </w:p>
    <w:p w:rsidR="00023609" w:rsidRDefault="00023609">
      <w:pPr>
        <w:pStyle w:val="ConsPlusTitle"/>
        <w:jc w:val="center"/>
      </w:pPr>
      <w:r>
        <w:t>ремонта, сформированного исходя из минимального размера</w:t>
      </w:r>
    </w:p>
    <w:p w:rsidR="00023609" w:rsidRDefault="00023609">
      <w:pPr>
        <w:pStyle w:val="ConsPlusTitle"/>
        <w:jc w:val="center"/>
      </w:pPr>
      <w:r>
        <w:t>взноса на капитальный ремонт общего имущества, на 2014 год</w:t>
      </w:r>
    </w:p>
    <w:p w:rsidR="00023609" w:rsidRDefault="00023609">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320"/>
        <w:gridCol w:w="2394"/>
        <w:gridCol w:w="126"/>
        <w:gridCol w:w="2280"/>
      </w:tblGrid>
      <w:tr w:rsidR="00023609">
        <w:tc>
          <w:tcPr>
            <w:tcW w:w="540" w:type="dxa"/>
            <w:tcBorders>
              <w:left w:val="single" w:sz="4" w:space="0" w:color="auto"/>
              <w:right w:val="nil"/>
            </w:tcBorders>
          </w:tcPr>
          <w:p w:rsidR="00023609" w:rsidRDefault="00023609">
            <w:pPr>
              <w:pStyle w:val="ConsPlusNormal"/>
              <w:jc w:val="center"/>
            </w:pPr>
            <w:r>
              <w:t>N п/п</w:t>
            </w:r>
          </w:p>
        </w:tc>
        <w:tc>
          <w:tcPr>
            <w:tcW w:w="4320" w:type="dxa"/>
            <w:tcBorders>
              <w:left w:val="single" w:sz="4" w:space="0" w:color="auto"/>
              <w:right w:val="nil"/>
            </w:tcBorders>
          </w:tcPr>
          <w:p w:rsidR="00023609" w:rsidRDefault="00023609">
            <w:pPr>
              <w:pStyle w:val="ConsPlusNormal"/>
              <w:jc w:val="center"/>
            </w:pPr>
            <w:r>
              <w:t>Наименование услуг и (или) работ</w:t>
            </w:r>
          </w:p>
        </w:tc>
        <w:tc>
          <w:tcPr>
            <w:tcW w:w="2520" w:type="dxa"/>
            <w:gridSpan w:val="2"/>
            <w:tcBorders>
              <w:left w:val="single" w:sz="4" w:space="0" w:color="auto"/>
              <w:right w:val="nil"/>
            </w:tcBorders>
          </w:tcPr>
          <w:p w:rsidR="00023609" w:rsidRDefault="00023609">
            <w:pPr>
              <w:pStyle w:val="ConsPlusNormal"/>
              <w:jc w:val="center"/>
            </w:pPr>
            <w:r>
              <w:t>Единица измерения</w:t>
            </w:r>
          </w:p>
        </w:tc>
        <w:tc>
          <w:tcPr>
            <w:tcW w:w="2280" w:type="dxa"/>
            <w:tcBorders>
              <w:left w:val="single" w:sz="4" w:space="0" w:color="auto"/>
              <w:right w:val="single" w:sz="4" w:space="0" w:color="auto"/>
            </w:tcBorders>
          </w:tcPr>
          <w:p w:rsidR="00023609" w:rsidRDefault="00023609">
            <w:pPr>
              <w:pStyle w:val="ConsPlusNormal"/>
              <w:jc w:val="center"/>
            </w:pPr>
            <w:r>
              <w:t>Размер предельной стоимости, руб.</w:t>
            </w:r>
          </w:p>
        </w:tc>
      </w:tr>
      <w:tr w:rsidR="00023609">
        <w:tc>
          <w:tcPr>
            <w:tcW w:w="540" w:type="dxa"/>
            <w:tcBorders>
              <w:left w:val="single" w:sz="4" w:space="0" w:color="auto"/>
              <w:right w:val="nil"/>
            </w:tcBorders>
          </w:tcPr>
          <w:p w:rsidR="00023609" w:rsidRDefault="00023609">
            <w:pPr>
              <w:pStyle w:val="ConsPlusNormal"/>
              <w:jc w:val="center"/>
            </w:pPr>
            <w:r>
              <w:t>1</w:t>
            </w:r>
          </w:p>
        </w:tc>
        <w:tc>
          <w:tcPr>
            <w:tcW w:w="4320" w:type="dxa"/>
            <w:tcBorders>
              <w:left w:val="single" w:sz="4" w:space="0" w:color="auto"/>
              <w:right w:val="nil"/>
            </w:tcBorders>
          </w:tcPr>
          <w:p w:rsidR="00023609" w:rsidRDefault="00023609">
            <w:pPr>
              <w:pStyle w:val="ConsPlusNormal"/>
              <w:jc w:val="center"/>
            </w:pPr>
            <w:r>
              <w:t>2</w:t>
            </w:r>
          </w:p>
        </w:tc>
        <w:tc>
          <w:tcPr>
            <w:tcW w:w="2520" w:type="dxa"/>
            <w:gridSpan w:val="2"/>
            <w:tcBorders>
              <w:left w:val="single" w:sz="4" w:space="0" w:color="auto"/>
              <w:right w:val="nil"/>
            </w:tcBorders>
          </w:tcPr>
          <w:p w:rsidR="00023609" w:rsidRDefault="00023609">
            <w:pPr>
              <w:pStyle w:val="ConsPlusNormal"/>
              <w:jc w:val="center"/>
            </w:pPr>
            <w:r>
              <w:t>3</w:t>
            </w:r>
          </w:p>
        </w:tc>
        <w:tc>
          <w:tcPr>
            <w:tcW w:w="2280" w:type="dxa"/>
            <w:tcBorders>
              <w:left w:val="single" w:sz="4" w:space="0" w:color="auto"/>
              <w:right w:val="single" w:sz="4" w:space="0" w:color="auto"/>
            </w:tcBorders>
          </w:tcPr>
          <w:p w:rsidR="00023609" w:rsidRDefault="00023609">
            <w:pPr>
              <w:pStyle w:val="ConsPlusNormal"/>
              <w:jc w:val="center"/>
            </w:pPr>
            <w:r>
              <w:t>4</w:t>
            </w:r>
          </w:p>
        </w:tc>
      </w:tr>
      <w:tr w:rsidR="00023609">
        <w:tc>
          <w:tcPr>
            <w:tcW w:w="540" w:type="dxa"/>
            <w:vMerge w:val="restart"/>
            <w:tcBorders>
              <w:left w:val="single" w:sz="4" w:space="0" w:color="auto"/>
              <w:right w:val="nil"/>
            </w:tcBorders>
          </w:tcPr>
          <w:p w:rsidR="00023609" w:rsidRDefault="00023609">
            <w:pPr>
              <w:pStyle w:val="ConsPlusNormal"/>
              <w:jc w:val="center"/>
            </w:pPr>
            <w:bookmarkStart w:id="2" w:name="P45"/>
            <w:bookmarkEnd w:id="2"/>
            <w:r>
              <w:t>1</w:t>
            </w:r>
          </w:p>
        </w:tc>
        <w:tc>
          <w:tcPr>
            <w:tcW w:w="4320" w:type="dxa"/>
            <w:tcBorders>
              <w:left w:val="single" w:sz="4" w:space="0" w:color="auto"/>
              <w:right w:val="nil"/>
            </w:tcBorders>
          </w:tcPr>
          <w:p w:rsidR="00023609" w:rsidRDefault="00023609">
            <w:pPr>
              <w:pStyle w:val="ConsPlusNormal"/>
            </w:pPr>
            <w:r>
              <w:t>Ремонт внутридомовой инженерной системы:</w:t>
            </w:r>
          </w:p>
        </w:tc>
        <w:tc>
          <w:tcPr>
            <w:tcW w:w="2520" w:type="dxa"/>
            <w:gridSpan w:val="2"/>
            <w:vMerge w:val="restart"/>
            <w:tcBorders>
              <w:left w:val="single" w:sz="4" w:space="0" w:color="auto"/>
              <w:right w:val="nil"/>
            </w:tcBorders>
          </w:tcPr>
          <w:p w:rsidR="00023609" w:rsidRDefault="00023609">
            <w:pPr>
              <w:pStyle w:val="ConsPlusNormal"/>
              <w:jc w:val="center"/>
            </w:pPr>
            <w:proofErr w:type="spellStart"/>
            <w:r>
              <w:t>кв.м</w:t>
            </w:r>
            <w:proofErr w:type="spellEnd"/>
            <w:r>
              <w:t xml:space="preserve"> общей площади многоквартирного дома</w:t>
            </w:r>
          </w:p>
        </w:tc>
        <w:tc>
          <w:tcPr>
            <w:tcW w:w="2280" w:type="dxa"/>
            <w:tcBorders>
              <w:left w:val="single" w:sz="4" w:space="0" w:color="auto"/>
              <w:right w:val="single" w:sz="4" w:space="0" w:color="auto"/>
            </w:tcBorders>
          </w:tcPr>
          <w:p w:rsidR="00023609" w:rsidRDefault="00023609">
            <w:pPr>
              <w:pStyle w:val="ConsPlusNormal"/>
              <w:jc w:val="center"/>
            </w:pP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электроснабжения</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1485</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теплоснабжения</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1170</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газоснабжения</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1385</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водоснабжения</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1180</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водоотведения</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610</w:t>
            </w:r>
          </w:p>
        </w:tc>
      </w:tr>
      <w:tr w:rsidR="00023609">
        <w:tc>
          <w:tcPr>
            <w:tcW w:w="540" w:type="dxa"/>
            <w:vMerge w:val="restart"/>
            <w:tcBorders>
              <w:left w:val="single" w:sz="4" w:space="0" w:color="auto"/>
              <w:right w:val="nil"/>
            </w:tcBorders>
          </w:tcPr>
          <w:p w:rsidR="00023609" w:rsidRDefault="00023609">
            <w:pPr>
              <w:pStyle w:val="ConsPlusNormal"/>
              <w:jc w:val="center"/>
            </w:pPr>
            <w:r>
              <w:t>2</w:t>
            </w:r>
          </w:p>
        </w:tc>
        <w:tc>
          <w:tcPr>
            <w:tcW w:w="4320" w:type="dxa"/>
            <w:tcBorders>
              <w:left w:val="single" w:sz="4" w:space="0" w:color="auto"/>
              <w:right w:val="nil"/>
            </w:tcBorders>
          </w:tcPr>
          <w:p w:rsidR="00023609" w:rsidRDefault="00023609">
            <w:pPr>
              <w:pStyle w:val="ConsPlusNormal"/>
            </w:pPr>
            <w:r>
              <w:t>Ремонт или замена лифтового оборудования, признанного непригодным для эксплуатации, ремонт лифтовых шахт:</w:t>
            </w:r>
          </w:p>
        </w:tc>
        <w:tc>
          <w:tcPr>
            <w:tcW w:w="2520" w:type="dxa"/>
            <w:gridSpan w:val="2"/>
            <w:tcBorders>
              <w:left w:val="single" w:sz="4" w:space="0" w:color="auto"/>
              <w:right w:val="nil"/>
            </w:tcBorders>
          </w:tcPr>
          <w:p w:rsidR="00023609" w:rsidRDefault="00023609">
            <w:pPr>
              <w:pStyle w:val="ConsPlusNormal"/>
              <w:jc w:val="center"/>
            </w:pPr>
          </w:p>
        </w:tc>
        <w:tc>
          <w:tcPr>
            <w:tcW w:w="2280" w:type="dxa"/>
            <w:tcBorders>
              <w:left w:val="single" w:sz="4" w:space="0" w:color="auto"/>
              <w:right w:val="single" w:sz="4" w:space="0" w:color="auto"/>
            </w:tcBorders>
          </w:tcPr>
          <w:p w:rsidR="00023609" w:rsidRDefault="00023609">
            <w:pPr>
              <w:pStyle w:val="ConsPlusNormal"/>
              <w:jc w:val="center"/>
            </w:pP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грузоподъемностью до 400 кг на 9 остановок</w:t>
            </w:r>
          </w:p>
        </w:tc>
        <w:tc>
          <w:tcPr>
            <w:tcW w:w="2520" w:type="dxa"/>
            <w:gridSpan w:val="2"/>
            <w:vMerge w:val="restart"/>
            <w:tcBorders>
              <w:left w:val="single" w:sz="4" w:space="0" w:color="auto"/>
              <w:right w:val="nil"/>
            </w:tcBorders>
          </w:tcPr>
          <w:p w:rsidR="00023609" w:rsidRDefault="00023609">
            <w:pPr>
              <w:pStyle w:val="ConsPlusNormal"/>
              <w:jc w:val="center"/>
            </w:pPr>
            <w:r>
              <w:t>лифт</w:t>
            </w:r>
          </w:p>
        </w:tc>
        <w:tc>
          <w:tcPr>
            <w:tcW w:w="2280" w:type="dxa"/>
            <w:tcBorders>
              <w:left w:val="single" w:sz="4" w:space="0" w:color="auto"/>
              <w:right w:val="single" w:sz="4" w:space="0" w:color="auto"/>
            </w:tcBorders>
          </w:tcPr>
          <w:p w:rsidR="00023609" w:rsidRDefault="00023609">
            <w:pPr>
              <w:pStyle w:val="ConsPlusNormal"/>
              <w:jc w:val="center"/>
            </w:pPr>
            <w:r>
              <w:t>1870655</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грузоподъемностью до 400 кг на 10 остановок</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1977795</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грузоподъемностью до 400 кг на 12 остановок</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2216625</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грузоподъемностью до 400 кг на 14 остановок</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2399570</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грузоподъемностью до 400 кг на 16 остановок</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2582515</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грузоподъемностью до 630 кг на 12 остановок</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2635865</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грузоподъемностью до 630 кг на 14 остановок</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2825120</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грузоподъемностью до 630 кг на 16 остановок</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3014380</w:t>
            </w:r>
          </w:p>
        </w:tc>
      </w:tr>
      <w:tr w:rsidR="00023609">
        <w:tc>
          <w:tcPr>
            <w:tcW w:w="540" w:type="dxa"/>
            <w:tcBorders>
              <w:left w:val="single" w:sz="4" w:space="0" w:color="auto"/>
              <w:right w:val="nil"/>
            </w:tcBorders>
          </w:tcPr>
          <w:p w:rsidR="00023609" w:rsidRDefault="00023609">
            <w:pPr>
              <w:pStyle w:val="ConsPlusNormal"/>
              <w:jc w:val="center"/>
            </w:pPr>
            <w:bookmarkStart w:id="3" w:name="P80"/>
            <w:bookmarkEnd w:id="3"/>
            <w:r>
              <w:t>3</w:t>
            </w:r>
          </w:p>
        </w:tc>
        <w:tc>
          <w:tcPr>
            <w:tcW w:w="4320" w:type="dxa"/>
            <w:tcBorders>
              <w:left w:val="single" w:sz="4" w:space="0" w:color="auto"/>
              <w:right w:val="nil"/>
            </w:tcBorders>
          </w:tcPr>
          <w:p w:rsidR="00023609" w:rsidRDefault="00023609">
            <w:pPr>
              <w:pStyle w:val="ConsPlusNormal"/>
            </w:pPr>
            <w:r>
              <w:t>Ремонт крыши, в том числе переустройство невентилируемой крыши на вентилируемую крышу, устройство выходов на кровлю</w:t>
            </w:r>
          </w:p>
        </w:tc>
        <w:tc>
          <w:tcPr>
            <w:tcW w:w="2520" w:type="dxa"/>
            <w:gridSpan w:val="2"/>
            <w:tcBorders>
              <w:left w:val="single" w:sz="4" w:space="0" w:color="auto"/>
              <w:right w:val="nil"/>
            </w:tcBorders>
          </w:tcPr>
          <w:p w:rsidR="00023609" w:rsidRDefault="00023609">
            <w:pPr>
              <w:pStyle w:val="ConsPlusNormal"/>
              <w:jc w:val="center"/>
            </w:pPr>
            <w:proofErr w:type="spellStart"/>
            <w:r>
              <w:t>кв.м</w:t>
            </w:r>
            <w:proofErr w:type="spellEnd"/>
            <w:r>
              <w:t xml:space="preserve"> горизонтальной плоскости крыши</w:t>
            </w:r>
          </w:p>
        </w:tc>
        <w:tc>
          <w:tcPr>
            <w:tcW w:w="2280" w:type="dxa"/>
            <w:tcBorders>
              <w:left w:val="single" w:sz="4" w:space="0" w:color="auto"/>
              <w:right w:val="single" w:sz="4" w:space="0" w:color="auto"/>
            </w:tcBorders>
          </w:tcPr>
          <w:p w:rsidR="00023609" w:rsidRDefault="00023609">
            <w:pPr>
              <w:pStyle w:val="ConsPlusNormal"/>
              <w:jc w:val="center"/>
            </w:pPr>
            <w:r>
              <w:t>2645</w:t>
            </w:r>
          </w:p>
        </w:tc>
      </w:tr>
      <w:tr w:rsidR="00023609">
        <w:tc>
          <w:tcPr>
            <w:tcW w:w="540" w:type="dxa"/>
            <w:tcBorders>
              <w:left w:val="single" w:sz="4" w:space="0" w:color="auto"/>
              <w:right w:val="nil"/>
            </w:tcBorders>
          </w:tcPr>
          <w:p w:rsidR="00023609" w:rsidRDefault="00023609">
            <w:pPr>
              <w:pStyle w:val="ConsPlusNormal"/>
              <w:jc w:val="center"/>
            </w:pPr>
            <w:r>
              <w:t>4</w:t>
            </w:r>
          </w:p>
        </w:tc>
        <w:tc>
          <w:tcPr>
            <w:tcW w:w="4320" w:type="dxa"/>
            <w:tcBorders>
              <w:left w:val="single" w:sz="4" w:space="0" w:color="auto"/>
              <w:right w:val="nil"/>
            </w:tcBorders>
          </w:tcPr>
          <w:p w:rsidR="00023609" w:rsidRDefault="00023609">
            <w:pPr>
              <w:pStyle w:val="ConsPlusNormal"/>
            </w:pPr>
            <w:r>
              <w:t>Ремонт подвальных помещений, относящихся к общему имуществу</w:t>
            </w:r>
          </w:p>
        </w:tc>
        <w:tc>
          <w:tcPr>
            <w:tcW w:w="2520" w:type="dxa"/>
            <w:gridSpan w:val="2"/>
            <w:tcBorders>
              <w:left w:val="single" w:sz="4" w:space="0" w:color="auto"/>
              <w:right w:val="nil"/>
            </w:tcBorders>
          </w:tcPr>
          <w:p w:rsidR="00023609" w:rsidRDefault="00023609">
            <w:pPr>
              <w:pStyle w:val="ConsPlusNormal"/>
              <w:jc w:val="center"/>
            </w:pPr>
            <w:proofErr w:type="spellStart"/>
            <w:r>
              <w:t>кв.м</w:t>
            </w:r>
            <w:proofErr w:type="spellEnd"/>
            <w:r>
              <w:t xml:space="preserve"> общей площади многоквартирного дома</w:t>
            </w:r>
          </w:p>
        </w:tc>
        <w:tc>
          <w:tcPr>
            <w:tcW w:w="2280" w:type="dxa"/>
            <w:tcBorders>
              <w:left w:val="single" w:sz="4" w:space="0" w:color="auto"/>
              <w:right w:val="single" w:sz="4" w:space="0" w:color="auto"/>
            </w:tcBorders>
          </w:tcPr>
          <w:p w:rsidR="00023609" w:rsidRDefault="00023609">
            <w:pPr>
              <w:pStyle w:val="ConsPlusNormal"/>
              <w:jc w:val="center"/>
            </w:pPr>
            <w:r>
              <w:t>695</w:t>
            </w:r>
          </w:p>
        </w:tc>
      </w:tr>
      <w:tr w:rsidR="00023609">
        <w:tc>
          <w:tcPr>
            <w:tcW w:w="540" w:type="dxa"/>
            <w:tcBorders>
              <w:left w:val="single" w:sz="4" w:space="0" w:color="auto"/>
              <w:right w:val="nil"/>
            </w:tcBorders>
          </w:tcPr>
          <w:p w:rsidR="00023609" w:rsidRDefault="00023609">
            <w:pPr>
              <w:pStyle w:val="ConsPlusNormal"/>
              <w:jc w:val="center"/>
            </w:pPr>
            <w:bookmarkStart w:id="4" w:name="P88"/>
            <w:bookmarkEnd w:id="4"/>
            <w:r>
              <w:t>5</w:t>
            </w:r>
          </w:p>
        </w:tc>
        <w:tc>
          <w:tcPr>
            <w:tcW w:w="4320" w:type="dxa"/>
            <w:tcBorders>
              <w:left w:val="single" w:sz="4" w:space="0" w:color="auto"/>
              <w:right w:val="nil"/>
            </w:tcBorders>
          </w:tcPr>
          <w:p w:rsidR="00023609" w:rsidRDefault="00023609">
            <w:pPr>
              <w:pStyle w:val="ConsPlusNormal"/>
            </w:pPr>
            <w:r>
              <w:t>Ремонт фасада</w:t>
            </w:r>
          </w:p>
        </w:tc>
        <w:tc>
          <w:tcPr>
            <w:tcW w:w="2520" w:type="dxa"/>
            <w:gridSpan w:val="2"/>
            <w:tcBorders>
              <w:left w:val="single" w:sz="4" w:space="0" w:color="auto"/>
              <w:right w:val="nil"/>
            </w:tcBorders>
          </w:tcPr>
          <w:p w:rsidR="00023609" w:rsidRDefault="00023609">
            <w:pPr>
              <w:pStyle w:val="ConsPlusNormal"/>
              <w:jc w:val="center"/>
            </w:pPr>
            <w:proofErr w:type="spellStart"/>
            <w:r>
              <w:t>кв.м</w:t>
            </w:r>
            <w:proofErr w:type="spellEnd"/>
            <w:r>
              <w:t xml:space="preserve"> вертикальной проекции дома</w:t>
            </w:r>
          </w:p>
        </w:tc>
        <w:tc>
          <w:tcPr>
            <w:tcW w:w="2280" w:type="dxa"/>
            <w:tcBorders>
              <w:left w:val="single" w:sz="4" w:space="0" w:color="auto"/>
              <w:right w:val="single" w:sz="4" w:space="0" w:color="auto"/>
            </w:tcBorders>
          </w:tcPr>
          <w:p w:rsidR="00023609" w:rsidRDefault="00023609">
            <w:pPr>
              <w:pStyle w:val="ConsPlusNormal"/>
              <w:jc w:val="center"/>
            </w:pPr>
            <w:r>
              <w:t>1015</w:t>
            </w:r>
          </w:p>
        </w:tc>
      </w:tr>
      <w:tr w:rsidR="00023609">
        <w:tc>
          <w:tcPr>
            <w:tcW w:w="540" w:type="dxa"/>
            <w:vMerge w:val="restart"/>
            <w:tcBorders>
              <w:left w:val="single" w:sz="4" w:space="0" w:color="auto"/>
              <w:right w:val="nil"/>
            </w:tcBorders>
          </w:tcPr>
          <w:p w:rsidR="00023609" w:rsidRDefault="00023609">
            <w:pPr>
              <w:pStyle w:val="ConsPlusNormal"/>
              <w:jc w:val="center"/>
            </w:pPr>
            <w:r>
              <w:t>6</w:t>
            </w:r>
          </w:p>
        </w:tc>
        <w:tc>
          <w:tcPr>
            <w:tcW w:w="4320" w:type="dxa"/>
            <w:tcBorders>
              <w:left w:val="single" w:sz="4" w:space="0" w:color="auto"/>
              <w:right w:val="nil"/>
            </w:tcBorders>
          </w:tcPr>
          <w:p w:rsidR="00023609" w:rsidRDefault="00023609">
            <w:pPr>
              <w:pStyle w:val="ConsPlusNormal"/>
            </w:pPr>
            <w:r>
              <w:t>Установка коллективных (общедомовых) приборов учета потребления ресурсов (далее - прибор учета), необходимых для предоставления коммунальных услуг, и узлов управления и регулирования потребления этих ресурсов</w:t>
            </w:r>
          </w:p>
        </w:tc>
        <w:tc>
          <w:tcPr>
            <w:tcW w:w="2520" w:type="dxa"/>
            <w:gridSpan w:val="2"/>
            <w:tcBorders>
              <w:left w:val="single" w:sz="4" w:space="0" w:color="auto"/>
              <w:right w:val="nil"/>
            </w:tcBorders>
          </w:tcPr>
          <w:p w:rsidR="00023609" w:rsidRDefault="00023609">
            <w:pPr>
              <w:pStyle w:val="ConsPlusNormal"/>
              <w:jc w:val="center"/>
            </w:pPr>
          </w:p>
        </w:tc>
        <w:tc>
          <w:tcPr>
            <w:tcW w:w="2280" w:type="dxa"/>
            <w:tcBorders>
              <w:left w:val="single" w:sz="4" w:space="0" w:color="auto"/>
              <w:right w:val="single" w:sz="4" w:space="0" w:color="auto"/>
            </w:tcBorders>
          </w:tcPr>
          <w:p w:rsidR="00023609" w:rsidRDefault="00023609">
            <w:pPr>
              <w:pStyle w:val="ConsPlusNormal"/>
              <w:jc w:val="center"/>
            </w:pP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тепловой энергии</w:t>
            </w:r>
          </w:p>
        </w:tc>
        <w:tc>
          <w:tcPr>
            <w:tcW w:w="2520" w:type="dxa"/>
            <w:gridSpan w:val="2"/>
            <w:vMerge w:val="restart"/>
            <w:tcBorders>
              <w:left w:val="single" w:sz="4" w:space="0" w:color="auto"/>
              <w:right w:val="nil"/>
            </w:tcBorders>
          </w:tcPr>
          <w:p w:rsidR="00023609" w:rsidRDefault="00023609">
            <w:pPr>
              <w:pStyle w:val="ConsPlusNormal"/>
              <w:jc w:val="center"/>
            </w:pPr>
            <w:proofErr w:type="spellStart"/>
            <w:r>
              <w:t>кв.м</w:t>
            </w:r>
            <w:proofErr w:type="spellEnd"/>
            <w:r>
              <w:t xml:space="preserve"> общей площади многоквартирного дома</w:t>
            </w:r>
          </w:p>
        </w:tc>
        <w:tc>
          <w:tcPr>
            <w:tcW w:w="2280" w:type="dxa"/>
            <w:tcBorders>
              <w:left w:val="single" w:sz="4" w:space="0" w:color="auto"/>
              <w:right w:val="single" w:sz="4" w:space="0" w:color="auto"/>
            </w:tcBorders>
          </w:tcPr>
          <w:p w:rsidR="00023609" w:rsidRDefault="00023609">
            <w:pPr>
              <w:pStyle w:val="ConsPlusNormal"/>
              <w:jc w:val="center"/>
            </w:pPr>
            <w:r>
              <w:t>1525</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горячей воды (только прибор учета)</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45</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холодной воды</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400</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электрической энергии</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23</w:t>
            </w:r>
          </w:p>
        </w:tc>
      </w:tr>
      <w:tr w:rsidR="00023609">
        <w:tc>
          <w:tcPr>
            <w:tcW w:w="540" w:type="dxa"/>
            <w:vMerge/>
            <w:tcBorders>
              <w:left w:val="single" w:sz="4" w:space="0" w:color="auto"/>
              <w:right w:val="nil"/>
            </w:tcBorders>
          </w:tcPr>
          <w:p w:rsidR="00023609" w:rsidRDefault="00023609"/>
        </w:tc>
        <w:tc>
          <w:tcPr>
            <w:tcW w:w="4320" w:type="dxa"/>
            <w:tcBorders>
              <w:left w:val="single" w:sz="4" w:space="0" w:color="auto"/>
              <w:right w:val="nil"/>
            </w:tcBorders>
          </w:tcPr>
          <w:p w:rsidR="00023609" w:rsidRDefault="00023609">
            <w:pPr>
              <w:pStyle w:val="ConsPlusNormal"/>
            </w:pPr>
            <w:r>
              <w:t>газа</w:t>
            </w:r>
          </w:p>
        </w:tc>
        <w:tc>
          <w:tcPr>
            <w:tcW w:w="2520" w:type="dxa"/>
            <w:gridSpan w:val="2"/>
            <w:vMerge/>
            <w:tcBorders>
              <w:left w:val="single" w:sz="4" w:space="0" w:color="auto"/>
              <w:right w:val="nil"/>
            </w:tcBorders>
          </w:tcPr>
          <w:p w:rsidR="00023609" w:rsidRDefault="00023609"/>
        </w:tc>
        <w:tc>
          <w:tcPr>
            <w:tcW w:w="2280" w:type="dxa"/>
            <w:tcBorders>
              <w:left w:val="single" w:sz="4" w:space="0" w:color="auto"/>
              <w:right w:val="single" w:sz="4" w:space="0" w:color="auto"/>
            </w:tcBorders>
          </w:tcPr>
          <w:p w:rsidR="00023609" w:rsidRDefault="00023609">
            <w:pPr>
              <w:pStyle w:val="ConsPlusNormal"/>
              <w:jc w:val="center"/>
            </w:pPr>
            <w:r>
              <w:t>55</w:t>
            </w:r>
          </w:p>
        </w:tc>
      </w:tr>
      <w:tr w:rsidR="00023609">
        <w:tc>
          <w:tcPr>
            <w:tcW w:w="540" w:type="dxa"/>
            <w:tcBorders>
              <w:left w:val="single" w:sz="4" w:space="0" w:color="auto"/>
              <w:right w:val="nil"/>
            </w:tcBorders>
          </w:tcPr>
          <w:p w:rsidR="00023609" w:rsidRDefault="00023609">
            <w:pPr>
              <w:pStyle w:val="ConsPlusNormal"/>
              <w:jc w:val="center"/>
            </w:pPr>
            <w:bookmarkStart w:id="5" w:name="P107"/>
            <w:bookmarkEnd w:id="5"/>
            <w:r>
              <w:t>7</w:t>
            </w:r>
          </w:p>
        </w:tc>
        <w:tc>
          <w:tcPr>
            <w:tcW w:w="4320" w:type="dxa"/>
            <w:tcBorders>
              <w:left w:val="single" w:sz="4" w:space="0" w:color="auto"/>
              <w:right w:val="nil"/>
            </w:tcBorders>
          </w:tcPr>
          <w:p w:rsidR="00023609" w:rsidRDefault="00023609">
            <w:pPr>
              <w:pStyle w:val="ConsPlusNormal"/>
            </w:pPr>
            <w:r>
              <w:t>Ремонт фундамента многоквартирного дома</w:t>
            </w:r>
          </w:p>
        </w:tc>
        <w:tc>
          <w:tcPr>
            <w:tcW w:w="4800" w:type="dxa"/>
            <w:gridSpan w:val="3"/>
            <w:tcBorders>
              <w:left w:val="single" w:sz="4" w:space="0" w:color="auto"/>
              <w:right w:val="single" w:sz="4" w:space="0" w:color="auto"/>
            </w:tcBorders>
          </w:tcPr>
          <w:p w:rsidR="00023609" w:rsidRDefault="00023609">
            <w:pPr>
              <w:pStyle w:val="ConsPlusNormal"/>
              <w:jc w:val="both"/>
            </w:pPr>
            <w:r>
              <w:t>Определяется в соответствии с проектно-сметной документацией</w:t>
            </w:r>
          </w:p>
        </w:tc>
      </w:tr>
      <w:tr w:rsidR="00023609">
        <w:tc>
          <w:tcPr>
            <w:tcW w:w="540" w:type="dxa"/>
            <w:tcBorders>
              <w:left w:val="single" w:sz="4" w:space="0" w:color="auto"/>
              <w:right w:val="nil"/>
            </w:tcBorders>
          </w:tcPr>
          <w:p w:rsidR="00023609" w:rsidRDefault="00023609">
            <w:pPr>
              <w:pStyle w:val="ConsPlusNormal"/>
              <w:jc w:val="center"/>
            </w:pPr>
            <w:r>
              <w:t>8</w:t>
            </w:r>
          </w:p>
        </w:tc>
        <w:tc>
          <w:tcPr>
            <w:tcW w:w="4320" w:type="dxa"/>
            <w:tcBorders>
              <w:left w:val="single" w:sz="4" w:space="0" w:color="auto"/>
              <w:right w:val="nil"/>
            </w:tcBorders>
          </w:tcPr>
          <w:p w:rsidR="00023609" w:rsidRDefault="00023609">
            <w:pPr>
              <w:pStyle w:val="ConsPlusNormal"/>
            </w:pPr>
            <w:r>
              <w:t>Разработка проектной документации в случае, если законодательством Российской Федерации требуется ее разработка</w:t>
            </w:r>
          </w:p>
        </w:tc>
        <w:tc>
          <w:tcPr>
            <w:tcW w:w="4800" w:type="dxa"/>
            <w:gridSpan w:val="3"/>
            <w:tcBorders>
              <w:left w:val="single" w:sz="4" w:space="0" w:color="auto"/>
              <w:right w:val="single" w:sz="4" w:space="0" w:color="auto"/>
            </w:tcBorders>
          </w:tcPr>
          <w:p w:rsidR="00023609" w:rsidRDefault="00023609">
            <w:pPr>
              <w:pStyle w:val="ConsPlusNormal"/>
              <w:jc w:val="both"/>
            </w:pPr>
            <w:r>
              <w:t xml:space="preserve">3,7 процента от предельной стоимости услуг и (или) работ, указанных в </w:t>
            </w:r>
            <w:hyperlink w:anchor="P45" w:history="1">
              <w:r>
                <w:rPr>
                  <w:color w:val="0000FF"/>
                </w:rPr>
                <w:t>строках 1</w:t>
              </w:r>
            </w:hyperlink>
            <w:r>
              <w:t xml:space="preserve"> - </w:t>
            </w:r>
            <w:hyperlink w:anchor="P80" w:history="1">
              <w:r>
                <w:rPr>
                  <w:color w:val="0000FF"/>
                </w:rPr>
                <w:t>3</w:t>
              </w:r>
            </w:hyperlink>
            <w:r>
              <w:t xml:space="preserve">, </w:t>
            </w:r>
            <w:hyperlink w:anchor="P88" w:history="1">
              <w:r>
                <w:rPr>
                  <w:color w:val="0000FF"/>
                </w:rPr>
                <w:t>5</w:t>
              </w:r>
            </w:hyperlink>
            <w:r>
              <w:t xml:space="preserve"> - </w:t>
            </w:r>
            <w:hyperlink w:anchor="P107" w:history="1">
              <w:r>
                <w:rPr>
                  <w:color w:val="0000FF"/>
                </w:rPr>
                <w:t>7</w:t>
              </w:r>
            </w:hyperlink>
          </w:p>
        </w:tc>
      </w:tr>
      <w:tr w:rsidR="00023609">
        <w:tc>
          <w:tcPr>
            <w:tcW w:w="540" w:type="dxa"/>
            <w:tcBorders>
              <w:left w:val="single" w:sz="4" w:space="0" w:color="auto"/>
              <w:right w:val="nil"/>
            </w:tcBorders>
          </w:tcPr>
          <w:p w:rsidR="00023609" w:rsidRDefault="00023609">
            <w:pPr>
              <w:pStyle w:val="ConsPlusNormal"/>
              <w:jc w:val="center"/>
            </w:pPr>
            <w:r>
              <w:t>9</w:t>
            </w:r>
          </w:p>
        </w:tc>
        <w:tc>
          <w:tcPr>
            <w:tcW w:w="4320" w:type="dxa"/>
            <w:tcBorders>
              <w:left w:val="single" w:sz="4" w:space="0" w:color="auto"/>
              <w:right w:val="nil"/>
            </w:tcBorders>
          </w:tcPr>
          <w:p w:rsidR="00023609" w:rsidRDefault="00023609">
            <w:pPr>
              <w:pStyle w:val="ConsPlusNormal"/>
            </w:pPr>
            <w:r>
              <w:t>Проведение государственной экспертизы проекта, историко-культурной экспертизы в отношении многоквартирных домов, признанных в установленном порядке памятниками архитектуры, в случае, если законодательством Российской Федерации требуется проведение таких экспертиз</w:t>
            </w:r>
          </w:p>
        </w:tc>
        <w:tc>
          <w:tcPr>
            <w:tcW w:w="4800" w:type="dxa"/>
            <w:gridSpan w:val="3"/>
            <w:tcBorders>
              <w:left w:val="single" w:sz="4" w:space="0" w:color="auto"/>
              <w:right w:val="single" w:sz="4" w:space="0" w:color="auto"/>
            </w:tcBorders>
          </w:tcPr>
          <w:p w:rsidR="00023609" w:rsidRDefault="00023609">
            <w:pPr>
              <w:pStyle w:val="ConsPlusNormal"/>
              <w:jc w:val="both"/>
            </w:pPr>
            <w:r>
              <w:t xml:space="preserve">1,25 процента от предельной стоимости услуг и (или) работ, указанных в </w:t>
            </w:r>
            <w:hyperlink w:anchor="P45" w:history="1">
              <w:r>
                <w:rPr>
                  <w:color w:val="0000FF"/>
                </w:rPr>
                <w:t>строках 1</w:t>
              </w:r>
            </w:hyperlink>
            <w:r>
              <w:t xml:space="preserve"> - </w:t>
            </w:r>
            <w:hyperlink w:anchor="P80" w:history="1">
              <w:r>
                <w:rPr>
                  <w:color w:val="0000FF"/>
                </w:rPr>
                <w:t>3</w:t>
              </w:r>
            </w:hyperlink>
            <w:r>
              <w:t xml:space="preserve">, </w:t>
            </w:r>
            <w:hyperlink w:anchor="P88" w:history="1">
              <w:r>
                <w:rPr>
                  <w:color w:val="0000FF"/>
                </w:rPr>
                <w:t>5</w:t>
              </w:r>
            </w:hyperlink>
            <w:r>
              <w:t xml:space="preserve"> - </w:t>
            </w:r>
            <w:hyperlink w:anchor="P107" w:history="1">
              <w:r>
                <w:rPr>
                  <w:color w:val="0000FF"/>
                </w:rPr>
                <w:t>7</w:t>
              </w:r>
            </w:hyperlink>
          </w:p>
        </w:tc>
      </w:tr>
      <w:tr w:rsidR="00023609">
        <w:tc>
          <w:tcPr>
            <w:tcW w:w="540" w:type="dxa"/>
            <w:tcBorders>
              <w:left w:val="single" w:sz="4" w:space="0" w:color="auto"/>
              <w:right w:val="nil"/>
            </w:tcBorders>
          </w:tcPr>
          <w:p w:rsidR="00023609" w:rsidRDefault="00023609">
            <w:pPr>
              <w:pStyle w:val="ConsPlusNormal"/>
              <w:jc w:val="center"/>
            </w:pPr>
            <w:r>
              <w:t>10</w:t>
            </w:r>
          </w:p>
        </w:tc>
        <w:tc>
          <w:tcPr>
            <w:tcW w:w="4320" w:type="dxa"/>
            <w:tcBorders>
              <w:left w:val="single" w:sz="4" w:space="0" w:color="auto"/>
              <w:right w:val="nil"/>
            </w:tcBorders>
          </w:tcPr>
          <w:p w:rsidR="00023609" w:rsidRDefault="00023609">
            <w:pPr>
              <w:pStyle w:val="ConsPlusNormal"/>
            </w:pPr>
            <w:r>
              <w:t>Осуществление технического надзора за проведением работ по капитальному ремонту общего имущества</w:t>
            </w:r>
          </w:p>
        </w:tc>
        <w:tc>
          <w:tcPr>
            <w:tcW w:w="4800" w:type="dxa"/>
            <w:gridSpan w:val="3"/>
            <w:tcBorders>
              <w:left w:val="single" w:sz="4" w:space="0" w:color="auto"/>
              <w:right w:val="single" w:sz="4" w:space="0" w:color="auto"/>
            </w:tcBorders>
          </w:tcPr>
          <w:p w:rsidR="00023609" w:rsidRDefault="00023609">
            <w:pPr>
              <w:pStyle w:val="ConsPlusNormal"/>
              <w:jc w:val="both"/>
            </w:pPr>
            <w:r>
              <w:t xml:space="preserve">Учтен в размере предельной стоимости услуг и (или) работ, указанных в </w:t>
            </w:r>
            <w:hyperlink w:anchor="P45" w:history="1">
              <w:r>
                <w:rPr>
                  <w:color w:val="0000FF"/>
                </w:rPr>
                <w:t>строках 1</w:t>
              </w:r>
            </w:hyperlink>
            <w:r>
              <w:t xml:space="preserve"> - </w:t>
            </w:r>
            <w:hyperlink w:anchor="P107" w:history="1">
              <w:r>
                <w:rPr>
                  <w:color w:val="0000FF"/>
                </w:rPr>
                <w:t>7</w:t>
              </w:r>
            </w:hyperlink>
            <w:r>
              <w:t xml:space="preserve">, </w:t>
            </w:r>
            <w:hyperlink w:anchor="P120" w:history="1">
              <w:r>
                <w:rPr>
                  <w:color w:val="0000FF"/>
                </w:rPr>
                <w:t>11</w:t>
              </w:r>
            </w:hyperlink>
          </w:p>
        </w:tc>
      </w:tr>
      <w:tr w:rsidR="00023609">
        <w:tc>
          <w:tcPr>
            <w:tcW w:w="540" w:type="dxa"/>
            <w:tcBorders>
              <w:left w:val="single" w:sz="4" w:space="0" w:color="auto"/>
              <w:right w:val="nil"/>
            </w:tcBorders>
          </w:tcPr>
          <w:p w:rsidR="00023609" w:rsidRDefault="00023609">
            <w:pPr>
              <w:pStyle w:val="ConsPlusNormal"/>
              <w:jc w:val="center"/>
            </w:pPr>
            <w:r>
              <w:t>11</w:t>
            </w:r>
          </w:p>
        </w:tc>
        <w:tc>
          <w:tcPr>
            <w:tcW w:w="4320" w:type="dxa"/>
            <w:tcBorders>
              <w:left w:val="single" w:sz="4" w:space="0" w:color="auto"/>
              <w:right w:val="nil"/>
            </w:tcBorders>
          </w:tcPr>
          <w:p w:rsidR="00023609" w:rsidRDefault="00023609">
            <w:pPr>
              <w:pStyle w:val="ConsPlusNormal"/>
            </w:pPr>
            <w:bookmarkStart w:id="6" w:name="P120"/>
            <w:bookmarkEnd w:id="6"/>
            <w:r>
              <w:t>Ремонт системы вентиляции</w:t>
            </w:r>
          </w:p>
        </w:tc>
        <w:tc>
          <w:tcPr>
            <w:tcW w:w="2394" w:type="dxa"/>
            <w:tcBorders>
              <w:left w:val="single" w:sz="4" w:space="0" w:color="auto"/>
              <w:right w:val="nil"/>
            </w:tcBorders>
          </w:tcPr>
          <w:p w:rsidR="00023609" w:rsidRDefault="00023609">
            <w:pPr>
              <w:pStyle w:val="ConsPlusNormal"/>
              <w:jc w:val="center"/>
            </w:pPr>
            <w:proofErr w:type="spellStart"/>
            <w:r>
              <w:t>кв.м</w:t>
            </w:r>
            <w:proofErr w:type="spellEnd"/>
          </w:p>
        </w:tc>
        <w:tc>
          <w:tcPr>
            <w:tcW w:w="2406" w:type="dxa"/>
            <w:gridSpan w:val="2"/>
            <w:tcBorders>
              <w:left w:val="single" w:sz="4" w:space="0" w:color="auto"/>
              <w:right w:val="single" w:sz="4" w:space="0" w:color="auto"/>
            </w:tcBorders>
          </w:tcPr>
          <w:p w:rsidR="00023609" w:rsidRDefault="00023609">
            <w:pPr>
              <w:pStyle w:val="ConsPlusNormal"/>
              <w:jc w:val="center"/>
            </w:pPr>
            <w:r>
              <w:t>27</w:t>
            </w:r>
          </w:p>
        </w:tc>
      </w:tr>
      <w:tr w:rsidR="00023609">
        <w:tc>
          <w:tcPr>
            <w:tcW w:w="540" w:type="dxa"/>
            <w:tcBorders>
              <w:left w:val="single" w:sz="4" w:space="0" w:color="auto"/>
              <w:right w:val="nil"/>
            </w:tcBorders>
          </w:tcPr>
          <w:p w:rsidR="00023609" w:rsidRDefault="00023609">
            <w:pPr>
              <w:pStyle w:val="ConsPlusNormal"/>
              <w:jc w:val="center"/>
            </w:pPr>
            <w:r>
              <w:t>12</w:t>
            </w:r>
          </w:p>
        </w:tc>
        <w:tc>
          <w:tcPr>
            <w:tcW w:w="4320" w:type="dxa"/>
            <w:tcBorders>
              <w:left w:val="single" w:sz="4" w:space="0" w:color="auto"/>
              <w:right w:val="nil"/>
            </w:tcBorders>
          </w:tcPr>
          <w:p w:rsidR="00023609" w:rsidRDefault="00023609">
            <w:pPr>
              <w:pStyle w:val="ConsPlusNormal"/>
            </w:pPr>
            <w:r>
              <w:t>Проведение энергетического обследования с составлением энергетического паспорта</w:t>
            </w:r>
          </w:p>
        </w:tc>
        <w:tc>
          <w:tcPr>
            <w:tcW w:w="4800" w:type="dxa"/>
            <w:gridSpan w:val="3"/>
            <w:tcBorders>
              <w:left w:val="single" w:sz="4" w:space="0" w:color="auto"/>
              <w:right w:val="single" w:sz="4" w:space="0" w:color="auto"/>
            </w:tcBorders>
          </w:tcPr>
          <w:p w:rsidR="00023609" w:rsidRDefault="00023609">
            <w:pPr>
              <w:pStyle w:val="ConsPlusNormal"/>
              <w:jc w:val="both"/>
            </w:pPr>
            <w:r>
              <w:t xml:space="preserve">1,7 процента предельной стоимости услуг и (или) работ, указанных в </w:t>
            </w:r>
            <w:hyperlink w:anchor="P45" w:history="1">
              <w:r>
                <w:rPr>
                  <w:color w:val="0000FF"/>
                </w:rPr>
                <w:t>строках 1</w:t>
              </w:r>
            </w:hyperlink>
            <w:r>
              <w:t xml:space="preserve"> - </w:t>
            </w:r>
            <w:hyperlink w:anchor="P107" w:history="1">
              <w:r>
                <w:rPr>
                  <w:color w:val="0000FF"/>
                </w:rPr>
                <w:t>7</w:t>
              </w:r>
            </w:hyperlink>
            <w:r>
              <w:t xml:space="preserve">, </w:t>
            </w:r>
            <w:hyperlink w:anchor="P120" w:history="1">
              <w:r>
                <w:rPr>
                  <w:color w:val="0000FF"/>
                </w:rPr>
                <w:t>11</w:t>
              </w:r>
            </w:hyperlink>
          </w:p>
        </w:tc>
      </w:tr>
      <w:tr w:rsidR="00023609">
        <w:tc>
          <w:tcPr>
            <w:tcW w:w="540" w:type="dxa"/>
            <w:tcBorders>
              <w:left w:val="single" w:sz="4" w:space="0" w:color="auto"/>
              <w:right w:val="nil"/>
            </w:tcBorders>
          </w:tcPr>
          <w:p w:rsidR="00023609" w:rsidRDefault="00023609">
            <w:pPr>
              <w:pStyle w:val="ConsPlusNormal"/>
              <w:jc w:val="center"/>
            </w:pPr>
            <w:r>
              <w:t>13</w:t>
            </w:r>
          </w:p>
        </w:tc>
        <w:tc>
          <w:tcPr>
            <w:tcW w:w="4320" w:type="dxa"/>
            <w:tcBorders>
              <w:left w:val="single" w:sz="4" w:space="0" w:color="auto"/>
              <w:right w:val="nil"/>
            </w:tcBorders>
          </w:tcPr>
          <w:p w:rsidR="00023609" w:rsidRDefault="00023609">
            <w:pPr>
              <w:pStyle w:val="ConsPlusNormal"/>
            </w:pPr>
            <w:r>
              <w:t xml:space="preserve">Изготовление технического паспорта после проведения капитального ремонта общего </w:t>
            </w:r>
            <w:r>
              <w:lastRenderedPageBreak/>
              <w:t>имущества</w:t>
            </w:r>
          </w:p>
        </w:tc>
        <w:tc>
          <w:tcPr>
            <w:tcW w:w="2394" w:type="dxa"/>
            <w:tcBorders>
              <w:left w:val="single" w:sz="4" w:space="0" w:color="auto"/>
              <w:right w:val="nil"/>
            </w:tcBorders>
          </w:tcPr>
          <w:p w:rsidR="00023609" w:rsidRDefault="00023609">
            <w:pPr>
              <w:pStyle w:val="ConsPlusNormal"/>
              <w:jc w:val="center"/>
            </w:pPr>
            <w:proofErr w:type="spellStart"/>
            <w:r>
              <w:lastRenderedPageBreak/>
              <w:t>кв.м</w:t>
            </w:r>
            <w:proofErr w:type="spellEnd"/>
          </w:p>
        </w:tc>
        <w:tc>
          <w:tcPr>
            <w:tcW w:w="2406" w:type="dxa"/>
            <w:gridSpan w:val="2"/>
            <w:tcBorders>
              <w:left w:val="single" w:sz="4" w:space="0" w:color="auto"/>
              <w:right w:val="single" w:sz="4" w:space="0" w:color="auto"/>
            </w:tcBorders>
          </w:tcPr>
          <w:p w:rsidR="00023609" w:rsidRDefault="00023609">
            <w:pPr>
              <w:pStyle w:val="ConsPlusNormal"/>
              <w:jc w:val="center"/>
            </w:pPr>
            <w:r>
              <w:t>6,7</w:t>
            </w:r>
          </w:p>
        </w:tc>
      </w:tr>
    </w:tbl>
    <w:p w:rsidR="00023609" w:rsidRDefault="00023609">
      <w:pPr>
        <w:pStyle w:val="ConsPlusNormal"/>
        <w:ind w:firstLine="540"/>
        <w:jc w:val="both"/>
      </w:pPr>
    </w:p>
    <w:p w:rsidR="00023609" w:rsidRDefault="00023609">
      <w:pPr>
        <w:pStyle w:val="ConsPlusNormal"/>
        <w:ind w:firstLine="540"/>
        <w:jc w:val="both"/>
      </w:pPr>
    </w:p>
    <w:p w:rsidR="00023609" w:rsidRDefault="00023609">
      <w:pPr>
        <w:pStyle w:val="ConsPlusNormal"/>
        <w:pBdr>
          <w:top w:val="single" w:sz="6" w:space="0" w:color="auto"/>
        </w:pBdr>
        <w:spacing w:before="100" w:after="100"/>
        <w:jc w:val="both"/>
        <w:rPr>
          <w:sz w:val="2"/>
          <w:szCs w:val="2"/>
        </w:rPr>
      </w:pPr>
    </w:p>
    <w:p w:rsidR="00A42344" w:rsidRDefault="00A42344"/>
    <w:sectPr w:rsidR="00A42344" w:rsidSect="00F6550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09"/>
    <w:rsid w:val="00023609"/>
    <w:rsid w:val="00A25CFB"/>
    <w:rsid w:val="00A42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C5214-E817-4DF0-8145-52627581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6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36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36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47E4BCFC722DBAB10C18897105BE0C175D9EF0451308CF669F6776C462329801C85F76A2C44317E9DDE1A7E1B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2</cp:revision>
  <dcterms:created xsi:type="dcterms:W3CDTF">2016-10-25T10:53:00Z</dcterms:created>
  <dcterms:modified xsi:type="dcterms:W3CDTF">2016-10-25T10:54:00Z</dcterms:modified>
</cp:coreProperties>
</file>